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Politia rurala Bozovici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42.072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26.295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8.765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7.012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11000</w:t>
            </w:r>
            <w:r>
              <w:rPr>
       </w:rPr>
              <w:t xml:space="preserve"> - Betonist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6.733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13411</w:t>
            </w:r>
            <w:r>
              <w:rPr>
       </w:rPr>
              <w:t xml:space="preserve"> - Zidar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9.650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15000</w:t>
            </w:r>
            <w:r>
              <w:rPr>
       </w:rPr>
              <w:t xml:space="preserve"> - Fierar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149.600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8.635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42.888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4.660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53.409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87.192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7.223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31.087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24100</w:t>
            </w:r>
            <w:r>
              <w:rPr>
       </w:rPr>
              <w:t xml:space="preserve"> - Pavator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11.700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23.141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313.423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116.339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6.930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988.400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47897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478975" name="Picture"/>
                                <pic:cNvPicPr/>
                              </pic:nvPicPr>
                              <pic:blipFill>
                                <a:blip r:embed="img_0_0_16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68_1.png" Type="http://schemas.openxmlformats.org/officeDocument/2006/relationships/image" Target="media/img_0_0_168_1.png"/>
</Relationships>

</file>