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10966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109668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