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4700"/>
        <w:gridCol w:w="1500"/>
        <w:gridCol w:w="9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Prigor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obiectiv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Amenajarea terenului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Amenajari pentru protectia mediului si aducerea terenului la starea initiala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1.4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relocarea/protectia utilitatilor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asigurarea utilitatilor necesare obiectivului de investitii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3.5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Tema de proiectare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prefezabilitate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Studiu de fezabilitate/documentatie de avizare a lucrarilor de interventii si deviz general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Documentatiile tehnice necesare in vederea obtinerii avizelor/acordurilor/autorizatiilor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Verificarea tehnica de calitate a proiectului tehnic si a detaliilor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3.5.6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Proiect tehnic si detalii de executie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Cheltuieli pentru investitia de baza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Constructii si 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Reparatii curente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56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Reparatii curente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5.1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Organizare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Lucrari de constructii si instalatii aferente organizarii de santier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5.1.2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Cheltuieli conexe organizarii santierului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01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300"/>
              <w:gridCol w:w="2400"/>
              <w:gridCol w:w="24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left"/>
                  </w:pPr>
                  <w:r>
                    <w:rPr>
       </w:rPr>
                    <w:t xml:space="preserve">TOTAL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|01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2" w:name="JR_PAGE_ANCHOR_0_1"/>
            <w:bookmarkEnd w:id="2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94465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944652" name="Picture"/>
                                <pic:cNvPicPr/>
                              </pic:nvPicPr>
                              <pic:blipFill>
                                <a:blip r:embed="img_0_0_142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800"/>
        <w:gridCol w:w="800"/>
        <w:gridCol w:w="4700"/>
        <w:gridCol w:w="2400"/>
        <w:gridCol w:w="2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2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 cap. Deviz General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Denumirea capitolelor si subcapitolelor de cheltuieli</w:t>
            </w:r>
          </w:p>
        </w:tc>
        <w:tc>
          <w:tcPr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Din care C+M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606233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062333" name="Picture"/>
                                <pic:cNvPicPr/>
                              </pic:nvPicPr>
                              <pic:blipFill>
                                <a:blip r:embed="img_0_1_1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42_1.png" Type="http://schemas.openxmlformats.org/officeDocument/2006/relationships/image" Target="media/img_0_0_142_1.png"/>
 <Relationship Id="img_0_1_16_1.png" Type="http://schemas.openxmlformats.org/officeDocument/2006/relationships/image" Target="media/img_0_1_16_1.png"/>
</Relationships>

</file>