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hol acces si grup sanitar parter sediu IPJ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hol acces si grup sanitar parter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finisaje hol acces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 Reparatii finisaje grup sanitar parter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5 Amenajare grup sanitar persoane cu dizabilitati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3 Reparatii instalatii sanitare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4 Reparatii Instalatii electrice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708806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70880698" name="Picture"/>
                                <pic:cNvPicPr/>
                              </pic:nvPicPr>
                              <pic:blipFill>
                                <a:blip r:embed="img_0_0_9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2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hol acces si grup sanitar parter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6" w:name="JR_PAGE_ANCHOR_0_2"/>
            <w:bookmarkEnd w:id="6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hol acces si grup sanitar parter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0195371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01953712" name="Picture"/>
                                <pic:cNvPicPr/>
                              </pic:nvPicPr>
                              <pic:blipFill>
                                <a:blip r:embed="img_0_1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1_1.png" Type="http://schemas.openxmlformats.org/officeDocument/2006/relationships/image" Target="media/img_0_0_91_1.png"/>
 <Relationship Id="img_0_1_6_1.png" Type="http://schemas.openxmlformats.org/officeDocument/2006/relationships/image" Target="media/img_0_1_6_1.png"/>
</Relationships>

</file>