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Politia rurala Bozovici</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01 Reparatii tencuieli exterioare</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RPCT10A1 - </w:t>
                        </w:r>
                        <w:r>
                          <w:rPr>
                            <w:b w:val="false"/>
                          </w:rPr>
                          <w:t xml:space="preserve">Desfacerea tencuielilor interioare sau exterioare obisnuite la pereti, pe suprafete care urmeaza a se tencui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154.200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RPCT33A1 - </w:t>
                        </w:r>
                        <w:r>
                          <w:rPr>
                            <w:b w:val="false"/>
                          </w:rPr>
                          <w:t xml:space="preserve">Demontarea usilor si ferestrelor din lemn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CK01A1 - </w:t>
                        </w:r>
                        <w:r>
                          <w:rPr>
                            <w:b w:val="false"/>
                          </w:rPr>
                          <w:t xml:space="preserve">Ferestre din lemn la constructii cu H= 0-35M cu suprafata tocului &lt; 1,00mp.</w:t>
                          <w:br/>
                          <w:t xml:space="preserve">-asimilat ferestre PVC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8006720362 - </w:t>
                        </w:r>
                        <w:r>
                          <w:rPr>
                            <w:b w:val="false"/>
                          </w:rPr>
                          <w:t xml:space="preserve">Ferestre din profile pvc tip rehau S712 2C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5.100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RPCT34A1 - </w:t>
                        </w:r>
                        <w:r>
                          <w:rPr>
                            <w:b w:val="false"/>
                          </w:rPr>
                          <w:t xml:space="preserve">Demontarea usilor si a ferestrelor metalice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VC23A# - </w:t>
                        </w:r>
                        <w:r>
                          <w:rPr>
                            <w:b w:val="false"/>
                          </w:rPr>
                          <w:t xml:space="preserve">Usa metalica, etansa la aer si stropi, cu sau fara fereastra de control, cu inchidere prin balamale si manere speciale, inclusif garniturile de cauciuc pentru tratarea aerului (umidificare, amestec, filtru, baterii, ventilator 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100014326 - </w:t>
                        </w:r>
                        <w:r>
                          <w:rPr>
                            <w:b w:val="false"/>
                          </w:rPr>
                          <w:t xml:space="preserve">Usa metalica apartament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940"/>
              </w:trPr>
              <w:tc>
                <w:tcPr>
                  <w:tcMar>
                    <w:top w:w="0" w:type="dxa"/>
                    <w:left w:w="0" w:type="dxa"/>
                    <w:bottom w:w="0" w:type="dxa"/>
                    <w:right w:w="0" w:type="dxa"/>
                  </w:tcMar>
                </w:tcPr>
                <w:tbl>
                  <w:tblPr>
                    <w:tblLayout w:type="fixed"/>
                  </w:tblPr>
                  <w:tblGrid>
                    <w:gridCol w:w="11100"/>
                  </w:tblGrid>
                  <w:tr>
                    <w:trPr>
                      <w:trHeight w:hRule="exact" w:val="94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5577788" name="Picture">
</wp:docPr>
                        <a:graphic>
                          <a:graphicData uri="http://schemas.openxmlformats.org/drawingml/2006/picture">
                            <pic:pic>
                              <pic:nvPicPr>
                                <pic:cNvPr id="5577788"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TRA01A05P - </w:t>
                        </w:r>
                        <w:r>
                          <w:rPr>
                            <w:b w:val="false"/>
                          </w:rPr>
                          <w:t xml:space="preserve">Transportul rutier al pamantului sau molozului cu autobasculanta dist.= 5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9.300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IZA07A - </w:t>
                        </w:r>
                        <w:r>
                          <w:rPr>
                            <w:b w:val="false"/>
                          </w:rPr>
                          <w:t xml:space="preserve">Tratamentul superficial al suprafetelor de beton tencuite cu mortar de ciment silicatare cu solutie de silicat de sodiu aplicata in patru straturi ;</w:t>
                          <w:br/>
                          <w:t xml:space="preserve">-asimilat tratament de asanare a tencuielilor afectate de infiltratii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69.500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RPCD08B-01% - </w:t>
                        </w:r>
                        <w:r>
                          <w:rPr>
                            <w:b w:val="false"/>
                          </w:rPr>
                          <w:t xml:space="preserve">Montarea plaselor sudate stm sau stnb - la pereti si diafragme cu greutate peste 3Kg / mp - pentru consolidari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748.000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2001046 - </w:t>
                        </w:r>
                        <w:r>
                          <w:rPr>
                            <w:b w:val="false"/>
                          </w:rPr>
                          <w:t xml:space="preserve">Plasa sudate tip 124 gq 447(117,3 Kg/buc) OL 37-1N</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748.000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RPCG20A1 - </w:t>
                        </w:r>
                        <w:r>
                          <w:rPr>
                            <w:b w:val="false"/>
                          </w:rPr>
                          <w:t xml:space="preserve">Repararea crapaturilor la zidurile de caramida prin umplerea cu mortar de ciment M 100-Z</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RPCG18C1 - </w:t>
                        </w:r>
                        <w:r>
                          <w:rPr>
                            <w:b w:val="false"/>
                          </w:rPr>
                          <w:t xml:space="preserve">Practicarea de strepi in ziduri existente pentru legatura cu peretii noi, de ? de caramida la fiecare 2 randuri de caramizi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CF06J1 - </w:t>
                        </w:r>
                        <w:r>
                          <w:rPr>
                            <w:b w:val="false"/>
                          </w:rPr>
                          <w:t xml:space="preserve">Tencuieli exterioare obisnuite cu spritul si grundul, executate mecanizat, iar stratul vizibil executat manual, driscuite din gros la calcan sau la interior la poduri, subsoluri etc. cu mortar de var-ciment marca M25-T in grosime de 2 CM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154.200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CZ0208F1 - </w:t>
                        </w:r>
                        <w:r>
                          <w:rPr>
                            <w:b w:val="false"/>
                          </w:rPr>
                          <w:t xml:space="preserve">Mortar de var - ciment pentru zidarie marca M 50-T preparat cu ciment F 25 si var hidratat, manual;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3.860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RPCJ06C-1# - </w:t>
                        </w:r>
                        <w:r>
                          <w:rPr>
                            <w:b w:val="false"/>
                          </w:rPr>
                          <w:t xml:space="preserve">Reparare tencuieli interioare in jurul toc. si perv. cu M 25-T(var cim),cu spaleti drepti,latime 25-35 CM (supr cu (corectie)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26.800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860"/>
              </w:trPr>
              <w:tc>
                <w:tcPr>
                  <w:tcMar>
                    <w:top w:w="0" w:type="dxa"/>
                    <w:left w:w="0" w:type="dxa"/>
                    <w:bottom w:w="0" w:type="dxa"/>
                    <w:right w:w="0" w:type="dxa"/>
                  </w:tcMar>
                </w:tcPr>
                <w:tbl>
                  <w:tblPr>
                    <w:tblLayout w:type="fixed"/>
                  </w:tblPr>
                  <w:tblGrid>
                    <w:gridCol w:w="11100"/>
                  </w:tblGrid>
                  <w:tr>
                    <w:trPr>
                      <w:trHeight w:hRule="exact" w:val="86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1749818" name="Picture">
</wp:docPr>
                        <a:graphic>
                          <a:graphicData uri="http://schemas.openxmlformats.org/drawingml/2006/picture">
                            <pic:pic>
                              <pic:nvPicPr>
                                <pic:cNvPr id="21749818"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40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CL08A01&gt; - </w:t>
                        </w:r>
                        <w:r>
                          <w:rPr>
                            <w:b w:val="false"/>
                          </w:rPr>
                          <w:t xml:space="preserve">Pregatirea suprafetelor peretilor si tavanelor prin amorsare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154.200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CF17A01* - </w:t>
                        </w:r>
                        <w:r>
                          <w:rPr>
                            <w:b w:val="false"/>
                          </w:rPr>
                          <w:t xml:space="preserve">Tencuiala decorativa - structurata aplicata manual pe suprafete de gips-carton, un strat amorsa , un strat grund vopsea  si un strat tencuiala decorativa 1,5mm (2,4kg/mp)</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150.700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CF28A02* - </w:t>
                        </w:r>
                        <w:r>
                          <w:rPr>
                            <w:b w:val="false"/>
                          </w:rPr>
                          <w:t xml:space="preserve">Tencuiala decorativa siliconica, cu aplicare manuala, pe gips-carton sau pe suprafete termoizolate, executat cu un strat amorsa, un strat grund (de imbibare) si un strat tencuiala decorativa particule pina in 2,5mm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11.600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CK26B# - </w:t>
                        </w:r>
                        <w:r>
                          <w:rPr>
                            <w:b w:val="false"/>
                          </w:rPr>
                          <w:t xml:space="preserve">Glafuri, pervaze glafuri aluminiu,montate la ferestre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ml</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18.1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6702</w:t>
                        </w:r>
                        <w:r>
                          <w:rPr>
       </w:rPr>
                          <w:t xml:space="preserve"> - </w:t>
                        </w:r>
                        <w:r>
                          <w:rPr>
                            <w:b w:val="false"/>
                          </w:rPr>
                          <w:t xml:space="preserve">Macara de fereastra 0,15tf</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ora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0.119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CB47A1 - </w:t>
                        </w:r>
                        <w:r>
                          <w:rPr>
                            <w:b w:val="false"/>
                          </w:rPr>
                          <w:t xml:space="preserve">Schela metalica tubulara lucrari pe suprafete verticale pîna la 30 m înaltime inclusiv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175.300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AUT1302A1 - </w:t>
                        </w:r>
                        <w:r>
                          <w:rPr>
                            <w:b w:val="false"/>
                          </w:rPr>
                          <w:t xml:space="preserve">Ora pr schela met autorid .3cast. 3,5tf h=31m l=29m 3schim.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ora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288.000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12.300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254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3" w:name="Altecheltuielidirecte"/>
                  <w:bookmarkEnd w:id="3"/>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5290829" name="Picture">
</wp:docPr>
                        <a:graphic>
                          <a:graphicData uri="http://schemas.openxmlformats.org/drawingml/2006/picture">
                            <pic:pic>
                              <pic:nvPicPr>
                                <pic:cNvPr id="25290829" name="Picture"/>
                                <pic:cNvPicPr/>
                              </pic:nvPicPr>
                              <pic:blipFill>
                                <a:blip r:embed="img_0_2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Cheltuieliindirecte"/>
                  <w:bookmarkEnd w:id="5"/>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6" w:name="Beneficiu"/>
                  <w:bookmarkEnd w:id="6"/>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85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7648390" name="Picture">
</wp:docPr>
                        <a:graphic>
                          <a:graphicData uri="http://schemas.openxmlformats.org/drawingml/2006/picture">
                            <pic:pic>
                              <pic:nvPicPr>
                                <pic:cNvPr id="27648390" name="Picture"/>
                                <pic:cNvPicPr/>
                              </pic:nvPicPr>
                              <pic:blipFill>
                                <a:blip r:embed="img_0_3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TableData|10">
    <w:name w:val="TableData|10"/>
    <w:qFormat/>
    <w:pPr>
      <w:ind/>
    </w:pPr>
    <w:rPr>
      <w:rFonts w:ascii="DejaVu Sans" w:hAnsi="DejaVu Sans" w:eastAsia="DejaVu Sans" w:cs="DejaVu Sans"/>
      <w:sz w:val="18"/>
      <w:i w:val="true"/>
    </w:rPr>
  </w:style>
  <w:style w:type="paragraph" w:styleId="SecondaryTableData|10">
    <w:name w:val="Secondary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4_1.png" Type="http://schemas.openxmlformats.org/officeDocument/2006/relationships/image" Target="media/img_0_2_4_1.png"/>
 <Relationship Id="img_0_3_4_1.png" Type="http://schemas.openxmlformats.org/officeDocument/2006/relationships/image" Target="media/img_0_3_4_1.png"/>
</Relationships>

</file>